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SIXNET internet technologies s.r.o. , so sídlom Dúhová 40 Košice - mestská časť Juh 040 01 , IČO: 52 548 856 , zapísane v OR Mestského súdu Košice I,  46971/V</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468</Words>
  <Characters>2771</Characters>
  <CharactersWithSpaces>3219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2025-02-08T12:20:46Z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